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1E2C9">
      <w:pPr>
        <w:snapToGrid w:val="0"/>
        <w:spacing w:line="360" w:lineRule="auto"/>
        <w:contextualSpacing/>
        <w:jc w:val="center"/>
        <w:rPr>
          <w:rFonts w:hint="eastAsia" w:ascii="宋体" w:hAnsi="宋体"/>
          <w:b/>
          <w:bCs/>
          <w:sz w:val="36"/>
          <w:szCs w:val="36"/>
        </w:rPr>
      </w:pPr>
      <w:bookmarkStart w:id="0" w:name="_GoBack"/>
      <w:bookmarkEnd w:id="0"/>
      <w:r>
        <w:rPr>
          <w:rFonts w:hint="eastAsia" w:ascii="宋体" w:hAnsi="宋体"/>
          <w:b/>
          <w:bCs/>
          <w:sz w:val="36"/>
          <w:szCs w:val="36"/>
        </w:rPr>
        <w:t>16</w:t>
      </w:r>
      <w:r>
        <w:rPr>
          <w:rFonts w:ascii="宋体" w:hAnsi="宋体"/>
          <w:b/>
          <w:bCs/>
          <w:sz w:val="36"/>
          <w:szCs w:val="36"/>
        </w:rPr>
        <w:t xml:space="preserve"> </w:t>
      </w:r>
      <w:r>
        <w:rPr>
          <w:rFonts w:hint="eastAsia" w:ascii="宋体" w:hAnsi="宋体"/>
          <w:b/>
          <w:bCs/>
          <w:sz w:val="36"/>
          <w:szCs w:val="36"/>
        </w:rPr>
        <w:t>有为有不为</w:t>
      </w:r>
    </w:p>
    <w:p w14:paraId="2135FB7C">
      <w:pPr>
        <w:snapToGrid w:val="0"/>
        <w:spacing w:line="360" w:lineRule="auto"/>
        <w:contextualSpacing/>
        <w:jc w:val="left"/>
        <w:rPr>
          <w:rFonts w:hint="eastAsia" w:ascii="宋体" w:hAnsi="宋体"/>
          <w:sz w:val="24"/>
        </w:rPr>
      </w:pPr>
      <w:r>
        <w:drawing>
          <wp:inline distT="0" distB="0" distL="0" distR="0">
            <wp:extent cx="845185" cy="224155"/>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0"/>
                    <a:stretch>
                      <a:fillRect/>
                    </a:stretch>
                  </pic:blipFill>
                  <pic:spPr>
                    <a:xfrm>
                      <a:off x="0" y="0"/>
                      <a:ext cx="886746" cy="235379"/>
                    </a:xfrm>
                    <a:prstGeom prst="rect">
                      <a:avLst/>
                    </a:prstGeom>
                  </pic:spPr>
                </pic:pic>
              </a:graphicData>
            </a:graphic>
          </wp:inline>
        </w:drawing>
      </w:r>
    </w:p>
    <w:p w14:paraId="2EFD7BF2">
      <w:pPr>
        <w:snapToGrid w:val="0"/>
        <w:spacing w:line="360" w:lineRule="auto"/>
        <w:ind w:left="240" w:hanging="240" w:hangingChars="100"/>
        <w:contextualSpacing/>
        <w:jc w:val="left"/>
        <w:rPr>
          <w:rFonts w:hint="eastAsia" w:ascii="宋体" w:hAnsi="宋体"/>
          <w:sz w:val="24"/>
        </w:rPr>
      </w:pPr>
      <w:r>
        <w:rPr>
          <w:rFonts w:hint="eastAsia" w:ascii="宋体" w:hAnsi="宋体"/>
          <w:sz w:val="24"/>
        </w:rPr>
        <w:t>◎文化自信：树立正确的价值观，明白在人生道路上应有所为有所不为，培养高尚的道德情操。</w:t>
      </w:r>
    </w:p>
    <w:p w14:paraId="4D88B9B9">
      <w:pPr>
        <w:snapToGrid w:val="0"/>
        <w:spacing w:line="360" w:lineRule="auto"/>
        <w:contextualSpacing/>
        <w:jc w:val="left"/>
        <w:rPr>
          <w:rFonts w:hint="eastAsia" w:ascii="宋体" w:hAnsi="宋体"/>
          <w:sz w:val="24"/>
        </w:rPr>
      </w:pPr>
      <w:r>
        <w:rPr>
          <w:rFonts w:hint="eastAsia" w:ascii="宋体" w:hAnsi="宋体"/>
          <w:sz w:val="24"/>
        </w:rPr>
        <w:t>◎语言运用：积累课后“读读写写”词语，能根据特定场景正确运用。</w:t>
      </w:r>
    </w:p>
    <w:p w14:paraId="1149BAA3">
      <w:pPr>
        <w:snapToGrid w:val="0"/>
        <w:spacing w:line="360" w:lineRule="auto"/>
        <w:ind w:left="240" w:hanging="240" w:hangingChars="100"/>
        <w:contextualSpacing/>
        <w:jc w:val="left"/>
        <w:rPr>
          <w:rFonts w:hint="eastAsia" w:ascii="宋体" w:hAnsi="宋体"/>
          <w:sz w:val="24"/>
        </w:rPr>
      </w:pPr>
      <w:r>
        <w:rPr>
          <w:rFonts w:hint="eastAsia" w:ascii="宋体" w:hAnsi="宋体"/>
          <w:sz w:val="24"/>
        </w:rPr>
        <w:t>◎思维能力：理解“有为”与“有不为”的含义，掌握文中的关键概念和观点。分析文章的篇章结构，理解各部分内容之间的逻辑关系，把握行文思路。（重点、难点）</w:t>
      </w:r>
    </w:p>
    <w:p w14:paraId="5489BD2E">
      <w:pPr>
        <w:snapToGrid w:val="0"/>
        <w:spacing w:line="360" w:lineRule="auto"/>
        <w:contextualSpacing/>
        <w:jc w:val="left"/>
        <w:rPr>
          <w:rFonts w:hint="eastAsia" w:ascii="宋体" w:hAnsi="宋体"/>
          <w:sz w:val="24"/>
        </w:rPr>
      </w:pPr>
      <w:r>
        <w:rPr>
          <w:rFonts w:hint="eastAsia" w:ascii="宋体" w:hAnsi="宋体"/>
          <w:sz w:val="24"/>
        </w:rPr>
        <w:t>◎审美创造：感受本文说理清晰透彻的特点。</w:t>
      </w:r>
    </w:p>
    <w:p w14:paraId="432B6FDE">
      <w:pPr>
        <w:snapToGrid w:val="0"/>
        <w:spacing w:line="360" w:lineRule="auto"/>
        <w:contextualSpacing/>
        <w:jc w:val="left"/>
        <w:rPr>
          <w:rFonts w:hint="eastAsia" w:ascii="宋体" w:hAnsi="宋体"/>
          <w:sz w:val="24"/>
        </w:rPr>
      </w:pPr>
      <w:r>
        <w:drawing>
          <wp:inline distT="0" distB="0" distL="0" distR="0">
            <wp:extent cx="1324610" cy="2946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1"/>
                    <a:stretch>
                      <a:fillRect/>
                    </a:stretch>
                  </pic:blipFill>
                  <pic:spPr>
                    <a:xfrm>
                      <a:off x="0" y="0"/>
                      <a:ext cx="1324800" cy="295200"/>
                    </a:xfrm>
                    <a:prstGeom prst="rect">
                      <a:avLst/>
                    </a:prstGeom>
                  </pic:spPr>
                </pic:pic>
              </a:graphicData>
            </a:graphic>
          </wp:inline>
        </w:drawing>
      </w:r>
    </w:p>
    <w:p w14:paraId="746F6F89">
      <w:pPr>
        <w:snapToGrid w:val="0"/>
        <w:spacing w:line="360" w:lineRule="auto"/>
        <w:contextualSpacing/>
        <w:jc w:val="left"/>
        <w:rPr>
          <w:rFonts w:hint="eastAsia" w:ascii="宋体" w:hAnsi="宋体"/>
          <w:sz w:val="24"/>
        </w:rPr>
      </w:pPr>
      <w:r>
        <w:rPr>
          <w:rFonts w:hint="eastAsia" w:ascii="宋体" w:hAnsi="宋体"/>
          <w:sz w:val="24"/>
        </w:rPr>
        <w:t>一、导入新课</w:t>
      </w:r>
    </w:p>
    <w:p w14:paraId="7216DD71">
      <w:pPr>
        <w:snapToGrid w:val="0"/>
        <w:spacing w:line="360" w:lineRule="auto"/>
        <w:ind w:firstLine="480" w:firstLineChars="200"/>
        <w:contextualSpacing/>
        <w:jc w:val="left"/>
        <w:rPr>
          <w:rFonts w:hint="eastAsia" w:ascii="宋体" w:hAnsi="宋体"/>
          <w:sz w:val="24"/>
        </w:rPr>
      </w:pPr>
      <w:r>
        <w:rPr>
          <w:rFonts w:hint="eastAsia" w:ascii="宋体" w:hAnsi="宋体"/>
          <w:sz w:val="24"/>
        </w:rPr>
        <w:t>《元史》中记载了理学家许衡的一个故事：某个炎炎夏日，许衡外出，看见行人纷纷到路边的一棵梨树下摘梨解渴，他却不去摘。有人问他，如今兵荒马乱的，这棵梨树已经没有主人了，你为什么不去摘梨吃呢？许衡回答说：“梨虽无主，我心有主。”这个故事告诉我们人在面对诱惑时应该坚守内心的准则，不被外界的诱惑所动摇，明白什么事能做，什么事不能做。那么，到底什么事能做？什么事又不能做呢？同学们有没有思考过这个问题？今天就让我们一起走进季羡林先生的《有为有不为》，看看他对这个问题是如何思考的。</w:t>
      </w:r>
    </w:p>
    <w:p w14:paraId="723A2FDC">
      <w:pPr>
        <w:snapToGrid w:val="0"/>
        <w:spacing w:line="360" w:lineRule="auto"/>
        <w:contextualSpacing/>
        <w:jc w:val="left"/>
        <w:rPr>
          <w:rFonts w:hint="eastAsia" w:ascii="宋体" w:hAnsi="宋体"/>
          <w:sz w:val="24"/>
        </w:rPr>
      </w:pPr>
      <w:r>
        <w:rPr>
          <w:rFonts w:hint="eastAsia" w:ascii="宋体" w:hAnsi="宋体"/>
          <w:sz w:val="24"/>
        </w:rPr>
        <w:t>二、教学开展</w:t>
      </w:r>
    </w:p>
    <w:p w14:paraId="3D4AF5D8">
      <w:pPr>
        <w:snapToGrid w:val="0"/>
        <w:spacing w:line="360" w:lineRule="auto"/>
        <w:ind w:firstLine="480" w:firstLineChars="200"/>
        <w:contextualSpacing/>
        <w:jc w:val="left"/>
        <w:rPr>
          <w:rFonts w:hint="eastAsia" w:ascii="宋体" w:hAnsi="宋体"/>
          <w:sz w:val="24"/>
        </w:rPr>
      </w:pPr>
      <w:r>
        <w:rPr>
          <w:rFonts w:hint="eastAsia" w:ascii="宋体" w:hAnsi="宋体"/>
          <w:sz w:val="24"/>
        </w:rPr>
        <w:t>1.目标任务一：搜集资料，扫清障碍。</w:t>
      </w:r>
    </w:p>
    <w:p w14:paraId="7FC64119">
      <w:pPr>
        <w:snapToGrid w:val="0"/>
        <w:spacing w:line="360" w:lineRule="auto"/>
        <w:ind w:firstLine="480" w:firstLineChars="200"/>
        <w:contextualSpacing/>
        <w:jc w:val="left"/>
        <w:rPr>
          <w:rFonts w:hint="eastAsia" w:ascii="宋体" w:hAnsi="宋体"/>
          <w:sz w:val="24"/>
        </w:rPr>
      </w:pPr>
      <w:r>
        <w:rPr>
          <w:rFonts w:hint="eastAsia" w:ascii="宋体" w:hAnsi="宋体"/>
          <w:sz w:val="24"/>
        </w:rPr>
        <w:t>◎字词积累。自由朗读，结合课后的“读读写写”掌握“诉诸”“得逞”“迷途知返”等重点词语。</w:t>
      </w:r>
    </w:p>
    <w:p w14:paraId="73BC4FEB">
      <w:pPr>
        <w:snapToGrid w:val="0"/>
        <w:spacing w:line="360" w:lineRule="auto"/>
        <w:ind w:firstLine="480" w:firstLineChars="200"/>
        <w:contextualSpacing/>
        <w:jc w:val="left"/>
        <w:rPr>
          <w:rFonts w:hint="eastAsia" w:ascii="宋体" w:hAnsi="宋体"/>
          <w:sz w:val="24"/>
        </w:rPr>
      </w:pPr>
      <w:r>
        <w:rPr>
          <w:rFonts w:hint="eastAsia" w:ascii="宋体" w:hAnsi="宋体"/>
          <w:sz w:val="24"/>
        </w:rPr>
        <w:t>可参见《创优作业·背记手册》本课字词部分。</w:t>
      </w:r>
    </w:p>
    <w:p w14:paraId="1A52E3AF">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◎作者简介</w:t>
      </w:r>
    </w:p>
    <w:p w14:paraId="78F5670B">
      <w:pPr>
        <w:snapToGrid w:val="0"/>
        <w:spacing w:line="360" w:lineRule="auto"/>
        <w:ind w:firstLine="480" w:firstLineChars="200"/>
        <w:contextualSpacing/>
        <w:jc w:val="left"/>
        <w:rPr>
          <w:rFonts w:hint="eastAsia" w:ascii="宋体" w:hAnsi="宋体"/>
          <w:sz w:val="24"/>
        </w:rPr>
      </w:pPr>
      <w:r>
        <w:rPr>
          <w:rFonts w:hint="eastAsia" w:ascii="宋体" w:hAnsi="宋体"/>
          <w:sz w:val="24"/>
        </w:rPr>
        <w:t>季羡林（1911—2009），字希逋、齐奘，山东临清人，学者、作家、翻译家，被誉为“学界泰斗”。有《季羡林全集》。</w:t>
      </w:r>
    </w:p>
    <w:p w14:paraId="797F1338">
      <w:pPr>
        <w:snapToGrid w:val="0"/>
        <w:spacing w:line="360" w:lineRule="auto"/>
        <w:ind w:firstLine="480" w:firstLineChars="200"/>
        <w:contextualSpacing/>
        <w:jc w:val="left"/>
        <w:rPr>
          <w:rFonts w:hint="eastAsia" w:ascii="宋体" w:hAnsi="宋体"/>
          <w:sz w:val="24"/>
        </w:rPr>
      </w:pPr>
      <w:r>
        <w:rPr>
          <w:rFonts w:hint="eastAsia" w:ascii="宋体" w:hAnsi="宋体"/>
          <w:sz w:val="24"/>
        </w:rPr>
        <w:t>◎文体知识</w:t>
      </w:r>
    </w:p>
    <w:p w14:paraId="1B113FDC">
      <w:pPr>
        <w:snapToGrid w:val="0"/>
        <w:spacing w:line="360" w:lineRule="auto"/>
        <w:contextualSpacing/>
        <w:jc w:val="center"/>
        <w:rPr>
          <w:rFonts w:hint="eastAsia" w:ascii="宋体" w:hAnsi="宋体"/>
          <w:sz w:val="24"/>
        </w:rPr>
      </w:pPr>
      <w:r>
        <w:rPr>
          <w:rFonts w:hint="eastAsia" w:ascii="宋体" w:hAnsi="宋体"/>
          <w:sz w:val="24"/>
        </w:rPr>
        <w:t>议论文</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851"/>
        <w:gridCol w:w="7756"/>
      </w:tblGrid>
      <w:tr w14:paraId="20B29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7FCB9FC7">
            <w:pPr>
              <w:spacing w:line="360" w:lineRule="auto"/>
              <w:contextualSpacing/>
              <w:jc w:val="center"/>
              <w:rPr>
                <w:rFonts w:hint="eastAsia" w:ascii="宋体" w:hAnsi="宋体"/>
                <w:sz w:val="24"/>
              </w:rPr>
            </w:pPr>
            <w:r>
              <w:rPr>
                <w:rFonts w:hint="eastAsia" w:ascii="宋体" w:hAnsi="宋体"/>
                <w:sz w:val="24"/>
              </w:rPr>
              <w:t>概念</w:t>
            </w:r>
          </w:p>
        </w:tc>
        <w:tc>
          <w:tcPr>
            <w:tcW w:w="8607" w:type="dxa"/>
            <w:gridSpan w:val="2"/>
            <w:vAlign w:val="center"/>
          </w:tcPr>
          <w:p w14:paraId="41BD92B9">
            <w:pPr>
              <w:spacing w:line="360" w:lineRule="auto"/>
              <w:contextualSpacing/>
              <w:jc w:val="left"/>
              <w:rPr>
                <w:rFonts w:hint="eastAsia" w:ascii="宋体" w:hAnsi="宋体"/>
                <w:sz w:val="24"/>
              </w:rPr>
            </w:pPr>
            <w:r>
              <w:rPr>
                <w:rFonts w:hint="eastAsia" w:ascii="宋体" w:hAnsi="宋体"/>
                <w:sz w:val="24"/>
              </w:rPr>
              <w:t>以议论为主要表达方式，通过摆事实、讲道理等方法，直接表达作者的观点和主张的一种文体。</w:t>
            </w:r>
          </w:p>
        </w:tc>
      </w:tr>
      <w:tr w14:paraId="6577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vAlign w:val="center"/>
          </w:tcPr>
          <w:p w14:paraId="7FA7225F">
            <w:pPr>
              <w:spacing w:line="360" w:lineRule="auto"/>
              <w:contextualSpacing/>
              <w:jc w:val="center"/>
              <w:rPr>
                <w:rFonts w:hint="eastAsia" w:ascii="宋体" w:hAnsi="宋体"/>
                <w:sz w:val="24"/>
              </w:rPr>
            </w:pPr>
            <w:r>
              <w:rPr>
                <w:rFonts w:hint="eastAsia" w:ascii="宋体" w:hAnsi="宋体"/>
                <w:sz w:val="24"/>
              </w:rPr>
              <w:t>三要素</w:t>
            </w:r>
          </w:p>
        </w:tc>
        <w:tc>
          <w:tcPr>
            <w:tcW w:w="851" w:type="dxa"/>
            <w:vAlign w:val="center"/>
          </w:tcPr>
          <w:p w14:paraId="49DE9B5C">
            <w:pPr>
              <w:spacing w:line="360" w:lineRule="auto"/>
              <w:contextualSpacing/>
              <w:jc w:val="left"/>
              <w:rPr>
                <w:rFonts w:hint="eastAsia" w:ascii="宋体" w:hAnsi="宋体"/>
                <w:sz w:val="24"/>
              </w:rPr>
            </w:pPr>
            <w:r>
              <w:rPr>
                <w:rFonts w:hint="eastAsia" w:ascii="宋体" w:hAnsi="宋体"/>
                <w:sz w:val="24"/>
              </w:rPr>
              <w:t>论点</w:t>
            </w:r>
          </w:p>
        </w:tc>
        <w:tc>
          <w:tcPr>
            <w:tcW w:w="7756" w:type="dxa"/>
            <w:vAlign w:val="center"/>
          </w:tcPr>
          <w:p w14:paraId="7BFAF435">
            <w:pPr>
              <w:spacing w:line="360" w:lineRule="auto"/>
              <w:contextualSpacing/>
              <w:jc w:val="left"/>
              <w:rPr>
                <w:rFonts w:hint="eastAsia" w:ascii="宋体" w:hAnsi="宋体"/>
                <w:sz w:val="24"/>
              </w:rPr>
            </w:pPr>
            <w:r>
              <w:rPr>
                <w:rFonts w:hint="eastAsia" w:ascii="宋体" w:hAnsi="宋体"/>
                <w:sz w:val="24"/>
              </w:rPr>
              <w:t>作者对所论述问题的见解和主张。是议论文的灵魂。</w:t>
            </w:r>
          </w:p>
        </w:tc>
      </w:tr>
      <w:tr w14:paraId="75843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34DBFBA3">
            <w:pPr>
              <w:spacing w:line="360" w:lineRule="auto"/>
              <w:contextualSpacing/>
              <w:jc w:val="left"/>
              <w:rPr>
                <w:rFonts w:hint="eastAsia" w:ascii="宋体" w:hAnsi="宋体"/>
                <w:sz w:val="24"/>
              </w:rPr>
            </w:pPr>
          </w:p>
        </w:tc>
        <w:tc>
          <w:tcPr>
            <w:tcW w:w="851" w:type="dxa"/>
            <w:vAlign w:val="center"/>
          </w:tcPr>
          <w:p w14:paraId="7651742D">
            <w:pPr>
              <w:spacing w:line="360" w:lineRule="auto"/>
              <w:contextualSpacing/>
              <w:jc w:val="left"/>
              <w:rPr>
                <w:rFonts w:hint="eastAsia" w:ascii="宋体" w:hAnsi="宋体"/>
                <w:sz w:val="24"/>
              </w:rPr>
            </w:pPr>
            <w:r>
              <w:rPr>
                <w:rFonts w:hint="eastAsia" w:ascii="宋体" w:hAnsi="宋体"/>
                <w:sz w:val="24"/>
              </w:rPr>
              <w:t>论据</w:t>
            </w:r>
          </w:p>
        </w:tc>
        <w:tc>
          <w:tcPr>
            <w:tcW w:w="7756" w:type="dxa"/>
            <w:vAlign w:val="center"/>
          </w:tcPr>
          <w:p w14:paraId="2DE2EBFE">
            <w:pPr>
              <w:spacing w:line="360" w:lineRule="auto"/>
              <w:contextualSpacing/>
              <w:jc w:val="left"/>
              <w:rPr>
                <w:rFonts w:hint="eastAsia" w:ascii="宋体" w:hAnsi="宋体"/>
                <w:sz w:val="24"/>
              </w:rPr>
            </w:pPr>
            <w:r>
              <w:rPr>
                <w:rFonts w:hint="eastAsia" w:ascii="宋体" w:hAnsi="宋体"/>
                <w:sz w:val="24"/>
              </w:rPr>
              <w:t>用来证明论点的理由和依据。包括道理论据和事实论据。</w:t>
            </w:r>
          </w:p>
        </w:tc>
      </w:tr>
      <w:tr w14:paraId="6895E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6D1884AC">
            <w:pPr>
              <w:spacing w:line="360" w:lineRule="auto"/>
              <w:contextualSpacing/>
              <w:jc w:val="left"/>
              <w:rPr>
                <w:rFonts w:hint="eastAsia" w:ascii="宋体" w:hAnsi="宋体"/>
                <w:sz w:val="24"/>
              </w:rPr>
            </w:pPr>
          </w:p>
        </w:tc>
        <w:tc>
          <w:tcPr>
            <w:tcW w:w="851" w:type="dxa"/>
            <w:vAlign w:val="center"/>
          </w:tcPr>
          <w:p w14:paraId="60A6B3CB">
            <w:pPr>
              <w:spacing w:line="360" w:lineRule="auto"/>
              <w:contextualSpacing/>
              <w:jc w:val="left"/>
              <w:rPr>
                <w:rFonts w:hint="eastAsia" w:ascii="宋体" w:hAnsi="宋体"/>
                <w:sz w:val="24"/>
              </w:rPr>
            </w:pPr>
            <w:r>
              <w:rPr>
                <w:rFonts w:hint="eastAsia" w:ascii="宋体" w:hAnsi="宋体"/>
                <w:sz w:val="24"/>
              </w:rPr>
              <w:t>论证</w:t>
            </w:r>
          </w:p>
        </w:tc>
        <w:tc>
          <w:tcPr>
            <w:tcW w:w="7756" w:type="dxa"/>
            <w:vAlign w:val="center"/>
          </w:tcPr>
          <w:p w14:paraId="764C4F94">
            <w:pPr>
              <w:spacing w:line="360" w:lineRule="auto"/>
              <w:contextualSpacing/>
              <w:jc w:val="left"/>
              <w:rPr>
                <w:rFonts w:hint="eastAsia" w:ascii="宋体" w:hAnsi="宋体"/>
                <w:sz w:val="24"/>
              </w:rPr>
            </w:pPr>
            <w:r>
              <w:rPr>
                <w:rFonts w:hint="eastAsia" w:ascii="宋体" w:hAnsi="宋体"/>
                <w:sz w:val="24"/>
              </w:rPr>
              <w:t>用论据证明论点的过程和方法。论证分为立论和驳论。常用的论证方法有举例论证、道理论证、比喻论证、对比论证等。</w:t>
            </w:r>
          </w:p>
        </w:tc>
      </w:tr>
    </w:tbl>
    <w:p w14:paraId="5931F86C">
      <w:pPr>
        <w:snapToGrid w:val="0"/>
        <w:spacing w:line="360" w:lineRule="auto"/>
        <w:ind w:firstLine="480" w:firstLineChars="200"/>
        <w:contextualSpacing/>
        <w:jc w:val="left"/>
        <w:rPr>
          <w:rFonts w:hint="eastAsia" w:ascii="宋体" w:hAnsi="宋体"/>
          <w:sz w:val="24"/>
        </w:rPr>
      </w:pPr>
      <w:r>
        <w:rPr>
          <w:rFonts w:hint="eastAsia" w:ascii="宋体" w:hAnsi="宋体"/>
          <w:sz w:val="24"/>
        </w:rPr>
        <w:t>2.目标任务二：初读课文，感知文意。</w:t>
      </w:r>
    </w:p>
    <w:p w14:paraId="6D143261">
      <w:pPr>
        <w:snapToGrid w:val="0"/>
        <w:spacing w:line="360" w:lineRule="auto"/>
        <w:ind w:firstLine="480" w:firstLineChars="200"/>
        <w:contextualSpacing/>
        <w:jc w:val="left"/>
        <w:rPr>
          <w:rFonts w:hint="eastAsia" w:ascii="宋体" w:hAnsi="宋体"/>
          <w:sz w:val="24"/>
        </w:rPr>
      </w:pPr>
      <w:r>
        <w:rPr>
          <w:rFonts w:hint="eastAsia" w:ascii="宋体" w:hAnsi="宋体"/>
          <w:sz w:val="24"/>
        </w:rPr>
        <w:t>◎把握作者观点。</w:t>
      </w:r>
    </w:p>
    <w:p w14:paraId="3ADDA9B3">
      <w:pPr>
        <w:snapToGrid w:val="0"/>
        <w:spacing w:line="360" w:lineRule="auto"/>
        <w:ind w:firstLine="480" w:firstLineChars="200"/>
        <w:contextualSpacing/>
        <w:jc w:val="left"/>
        <w:rPr>
          <w:rFonts w:hint="eastAsia" w:ascii="宋体" w:hAnsi="宋体"/>
          <w:sz w:val="24"/>
        </w:rPr>
      </w:pPr>
      <w:r>
        <w:rPr>
          <w:rFonts w:hint="eastAsia" w:ascii="宋体" w:hAnsi="宋体"/>
          <w:sz w:val="24"/>
        </w:rPr>
        <w:t>通读全文，说说本文的主要观点是什么。</w:t>
      </w:r>
    </w:p>
    <w:p w14:paraId="64C4189C">
      <w:pPr>
        <w:snapToGrid w:val="0"/>
        <w:spacing w:line="360" w:lineRule="auto"/>
        <w:ind w:firstLine="480" w:firstLineChars="200"/>
        <w:contextualSpacing/>
        <w:jc w:val="left"/>
        <w:rPr>
          <w:rFonts w:hint="eastAsia" w:ascii="宋体" w:hAnsi="宋体"/>
          <w:sz w:val="24"/>
        </w:rPr>
      </w:pPr>
      <w:r>
        <w:rPr>
          <w:rFonts w:hint="eastAsia" w:ascii="宋体" w:hAnsi="宋体"/>
          <w:sz w:val="24"/>
        </w:rPr>
        <w:t>每个人都应为善不为恶。</w:t>
      </w:r>
    </w:p>
    <w:p w14:paraId="46C5372F">
      <w:pPr>
        <w:snapToGrid w:val="0"/>
        <w:spacing w:line="360" w:lineRule="auto"/>
        <w:ind w:firstLine="480" w:firstLineChars="200"/>
        <w:contextualSpacing/>
        <w:jc w:val="left"/>
        <w:rPr>
          <w:rFonts w:hint="eastAsia" w:ascii="宋体" w:hAnsi="宋体"/>
          <w:sz w:val="24"/>
        </w:rPr>
      </w:pPr>
      <w:r>
        <w:rPr>
          <w:rFonts w:hint="eastAsia" w:ascii="宋体" w:hAnsi="宋体"/>
          <w:sz w:val="24"/>
        </w:rPr>
        <w:t>◎梳理文章结构。再次浏览全文，完成下面的学习任务单。</w:t>
      </w:r>
    </w:p>
    <w:p w14:paraId="16E2EE27">
      <w:pPr>
        <w:snapToGrid w:val="0"/>
        <w:spacing w:line="360" w:lineRule="auto"/>
        <w:contextualSpacing/>
        <w:jc w:val="center"/>
        <w:rPr>
          <w:rFonts w:hint="eastAsia" w:ascii="宋体" w:hAnsi="宋体"/>
          <w:sz w:val="24"/>
        </w:rPr>
      </w:pPr>
      <w:r>
        <w:rPr>
          <w:rFonts w:hint="eastAsia" w:ascii="宋体" w:hAnsi="宋体"/>
          <w:sz w:val="24"/>
        </w:rPr>
        <w:t>学习任务单</w:t>
      </w:r>
    </w:p>
    <w:p w14:paraId="1AD70D1C">
      <w:pPr>
        <w:snapToGrid w:val="0"/>
        <w:spacing w:line="360" w:lineRule="auto"/>
        <w:contextualSpacing/>
        <w:jc w:val="center"/>
        <w:rPr>
          <w:rFonts w:hint="eastAsia" w:ascii="宋体" w:hAnsi="宋体"/>
          <w:sz w:val="24"/>
        </w:rPr>
      </w:pPr>
      <w:r>
        <w:drawing>
          <wp:inline distT="0" distB="0" distL="0" distR="0">
            <wp:extent cx="4030980" cy="2001520"/>
            <wp:effectExtent l="0" t="0" r="762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4050538" cy="2011554"/>
                    </a:xfrm>
                    <a:prstGeom prst="rect">
                      <a:avLst/>
                    </a:prstGeom>
                  </pic:spPr>
                </pic:pic>
              </a:graphicData>
            </a:graphic>
          </wp:inline>
        </w:drawing>
      </w:r>
    </w:p>
    <w:p w14:paraId="471EB4D4">
      <w:pPr>
        <w:snapToGrid w:val="0"/>
        <w:spacing w:line="360" w:lineRule="auto"/>
        <w:ind w:firstLine="480" w:firstLineChars="200"/>
        <w:contextualSpacing/>
        <w:jc w:val="left"/>
        <w:rPr>
          <w:rFonts w:hint="eastAsia" w:ascii="宋体" w:hAnsi="宋体"/>
          <w:sz w:val="24"/>
        </w:rPr>
      </w:pPr>
      <w:r>
        <w:rPr>
          <w:rFonts w:hint="eastAsia" w:ascii="宋体" w:hAnsi="宋体"/>
          <w:sz w:val="24"/>
        </w:rPr>
        <w:t xml:space="preserve">［参考答案］①大小善跟大小恶的联系 </w:t>
      </w:r>
      <w:r>
        <w:rPr>
          <w:rFonts w:ascii="宋体" w:hAnsi="宋体"/>
          <w:sz w:val="24"/>
        </w:rPr>
        <w:t xml:space="preserve"> </w:t>
      </w:r>
      <w:r>
        <w:rPr>
          <w:rFonts w:hint="eastAsia" w:ascii="宋体" w:hAnsi="宋体"/>
          <w:sz w:val="24"/>
        </w:rPr>
        <w:t>②每个人都能有为有不为</w:t>
      </w:r>
    </w:p>
    <w:p w14:paraId="000BF1B3">
      <w:pPr>
        <w:snapToGrid w:val="0"/>
        <w:spacing w:line="360" w:lineRule="auto"/>
        <w:ind w:firstLine="480" w:firstLineChars="200"/>
        <w:contextualSpacing/>
        <w:jc w:val="left"/>
        <w:rPr>
          <w:rFonts w:hint="eastAsia" w:ascii="宋体" w:hAnsi="宋体"/>
          <w:sz w:val="24"/>
        </w:rPr>
      </w:pPr>
      <w:r>
        <w:rPr>
          <w:rFonts w:hint="eastAsia" w:ascii="宋体" w:hAnsi="宋体"/>
          <w:sz w:val="24"/>
        </w:rPr>
        <w:t>◎把握行文思路。请简要梳理文章的行文思路。</w:t>
      </w:r>
    </w:p>
    <w:p w14:paraId="65441AD8">
      <w:pPr>
        <w:snapToGrid w:val="0"/>
        <w:spacing w:line="360" w:lineRule="auto"/>
        <w:ind w:firstLine="480" w:firstLineChars="200"/>
        <w:contextualSpacing/>
        <w:jc w:val="left"/>
        <w:rPr>
          <w:rFonts w:hint="eastAsia" w:ascii="宋体" w:hAnsi="宋体"/>
          <w:sz w:val="24"/>
        </w:rPr>
      </w:pPr>
      <w:r>
        <w:rPr>
          <w:rFonts w:hint="eastAsia" w:ascii="宋体" w:hAnsi="宋体"/>
          <w:sz w:val="24"/>
        </w:rPr>
        <w:t>首先，作者从主题“有为”“有不为”的内涵切入，由“有为”“有不为”的关键——“应该”引出其判断标准——善恶。接着，作者提出善恶有大小之分的观点，分别从社会层面和历史层面选取事例论述了什么是小恶小善、大恶大善，并得出结论。然后，作者又提出大小善和大小恶之间有时候是有联系的观点，并进一步作了论述。最后，作者直陈希望，号召人们“有为”“有不为”。</w:t>
      </w:r>
    </w:p>
    <w:p w14:paraId="00C6C0DE">
      <w:pPr>
        <w:snapToGrid w:val="0"/>
        <w:spacing w:line="360" w:lineRule="auto"/>
        <w:ind w:firstLine="480" w:firstLineChars="200"/>
        <w:contextualSpacing/>
        <w:jc w:val="left"/>
        <w:rPr>
          <w:rFonts w:hint="eastAsia" w:ascii="宋体" w:hAnsi="宋体"/>
          <w:sz w:val="24"/>
        </w:rPr>
      </w:pPr>
      <w:r>
        <w:rPr>
          <w:rFonts w:hint="eastAsia" w:ascii="宋体" w:hAnsi="宋体"/>
          <w:sz w:val="24"/>
        </w:rPr>
        <w:t>3.目标任务三：精读课文，品味语言。</w:t>
      </w:r>
    </w:p>
    <w:p w14:paraId="63E1B114">
      <w:pPr>
        <w:snapToGrid w:val="0"/>
        <w:spacing w:line="360" w:lineRule="auto"/>
        <w:ind w:firstLine="480" w:firstLineChars="200"/>
        <w:contextualSpacing/>
        <w:jc w:val="left"/>
        <w:rPr>
          <w:rFonts w:hint="eastAsia" w:ascii="宋体" w:hAnsi="宋体"/>
          <w:sz w:val="24"/>
        </w:rPr>
      </w:pPr>
      <w:r>
        <w:rPr>
          <w:rFonts w:hint="eastAsia" w:ascii="宋体" w:hAnsi="宋体"/>
          <w:sz w:val="24"/>
        </w:rPr>
        <w:t>◎文章在论述观点时举了两个例子，请找出来并分析其作用。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8"/>
        <w:gridCol w:w="4868"/>
      </w:tblGrid>
      <w:tr w14:paraId="2F81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8" w:type="dxa"/>
            <w:vAlign w:val="center"/>
          </w:tcPr>
          <w:p w14:paraId="64534174">
            <w:pPr>
              <w:spacing w:line="360" w:lineRule="auto"/>
              <w:contextualSpacing/>
              <w:jc w:val="center"/>
              <w:rPr>
                <w:rFonts w:hint="eastAsia" w:ascii="宋体" w:hAnsi="宋体"/>
                <w:sz w:val="24"/>
              </w:rPr>
            </w:pPr>
            <w:r>
              <w:rPr>
                <w:rFonts w:hint="eastAsia" w:ascii="宋体" w:hAnsi="宋体"/>
                <w:sz w:val="24"/>
              </w:rPr>
              <w:t>例子</w:t>
            </w:r>
          </w:p>
        </w:tc>
        <w:tc>
          <w:tcPr>
            <w:tcW w:w="4868" w:type="dxa"/>
            <w:vAlign w:val="center"/>
          </w:tcPr>
          <w:p w14:paraId="6902E7BD">
            <w:pPr>
              <w:spacing w:line="360" w:lineRule="auto"/>
              <w:contextualSpacing/>
              <w:jc w:val="center"/>
              <w:rPr>
                <w:rFonts w:hint="eastAsia" w:ascii="宋体" w:hAnsi="宋体"/>
                <w:sz w:val="24"/>
              </w:rPr>
            </w:pPr>
            <w:r>
              <w:rPr>
                <w:rFonts w:hint="eastAsia" w:ascii="宋体" w:hAnsi="宋体"/>
                <w:sz w:val="24"/>
              </w:rPr>
              <w:t>作用</w:t>
            </w:r>
          </w:p>
        </w:tc>
      </w:tr>
      <w:tr w14:paraId="3F9A2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8" w:type="dxa"/>
            <w:vAlign w:val="center"/>
          </w:tcPr>
          <w:p w14:paraId="09B6B56A">
            <w:pPr>
              <w:spacing w:line="360" w:lineRule="auto"/>
              <w:contextualSpacing/>
              <w:jc w:val="left"/>
              <w:rPr>
                <w:rFonts w:hint="eastAsia" w:ascii="宋体" w:hAnsi="宋体"/>
                <w:sz w:val="24"/>
              </w:rPr>
            </w:pPr>
            <w:r>
              <w:rPr>
                <w:rFonts w:hint="eastAsia" w:ascii="宋体" w:hAnsi="宋体"/>
                <w:sz w:val="24"/>
              </w:rPr>
              <w:t>比如在公共汽车上给老人和病人让座，能让，算是小善；不能让，也只能算是小恶，够不上大逆不道。然而，从那些一看到有老人或病人上车就立即装出闭目养神的样子的人身上，不也能由小见大看出了社会道德的水平吗？</w:t>
            </w:r>
          </w:p>
        </w:tc>
        <w:tc>
          <w:tcPr>
            <w:tcW w:w="4868" w:type="dxa"/>
            <w:vAlign w:val="center"/>
          </w:tcPr>
          <w:p w14:paraId="415A4873">
            <w:pPr>
              <w:spacing w:line="360" w:lineRule="auto"/>
              <w:contextualSpacing/>
              <w:jc w:val="left"/>
              <w:rPr>
                <w:rFonts w:hint="eastAsia" w:ascii="宋体" w:hAnsi="宋体"/>
                <w:sz w:val="24"/>
              </w:rPr>
            </w:pPr>
            <w:r>
              <w:rPr>
                <w:rFonts w:hint="eastAsia" w:ascii="宋体" w:hAnsi="宋体"/>
                <w:sz w:val="24"/>
              </w:rPr>
              <w:t>举公共汽车上给老人和病人让座的事例，并将让与不让两种情况进行对比，具体地阐述了小善小恶的表现，鲜明而有力地论证了小善小恶在日常生活中随时可见的观点。</w:t>
            </w:r>
          </w:p>
        </w:tc>
      </w:tr>
      <w:tr w14:paraId="4BB18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8" w:type="dxa"/>
            <w:vAlign w:val="center"/>
          </w:tcPr>
          <w:p w14:paraId="18A2A5F3">
            <w:pPr>
              <w:spacing w:line="360" w:lineRule="auto"/>
              <w:contextualSpacing/>
              <w:jc w:val="left"/>
              <w:rPr>
                <w:rFonts w:hint="eastAsia" w:ascii="宋体" w:hAnsi="宋体"/>
                <w:sz w:val="24"/>
              </w:rPr>
            </w:pPr>
            <w:r>
              <w:rPr>
                <w:rFonts w:hint="eastAsia" w:ascii="宋体" w:hAnsi="宋体"/>
                <w:sz w:val="24"/>
              </w:rPr>
              <w:t>比如宋代的文天祥。他为元军所虏。如果他想活下去，屈膝投敌就行了，不但能活，而且还能有大官做，最多是在身后被列入“贰臣传”，“身后是非谁管得”，管那么多干吗呀。然而他却高赋《正气歌》，从容就义，留下英名万古传，至今还在激励着我们全国人民的爱国热情。</w:t>
            </w:r>
          </w:p>
        </w:tc>
        <w:tc>
          <w:tcPr>
            <w:tcW w:w="4868" w:type="dxa"/>
            <w:vAlign w:val="center"/>
          </w:tcPr>
          <w:p w14:paraId="32C50730">
            <w:pPr>
              <w:spacing w:line="360" w:lineRule="auto"/>
              <w:contextualSpacing/>
              <w:jc w:val="left"/>
              <w:rPr>
                <w:rFonts w:hint="eastAsia" w:ascii="宋体" w:hAnsi="宋体"/>
                <w:sz w:val="24"/>
              </w:rPr>
            </w:pPr>
            <w:r>
              <w:rPr>
                <w:rFonts w:hint="eastAsia" w:ascii="宋体" w:hAnsi="宋体"/>
                <w:sz w:val="24"/>
              </w:rPr>
              <w:t>通过举文天祥的事例，论述了什么是大善。</w:t>
            </w:r>
          </w:p>
        </w:tc>
      </w:tr>
    </w:tbl>
    <w:p w14:paraId="73A8D873">
      <w:pPr>
        <w:snapToGrid w:val="0"/>
        <w:spacing w:line="360" w:lineRule="auto"/>
        <w:ind w:firstLine="480" w:firstLineChars="200"/>
        <w:contextualSpacing/>
        <w:jc w:val="left"/>
        <w:rPr>
          <w:rFonts w:hint="eastAsia" w:ascii="宋体" w:hAnsi="宋体"/>
          <w:sz w:val="24"/>
        </w:rPr>
      </w:pPr>
      <w:r>
        <w:rPr>
          <w:rFonts w:hint="eastAsia" w:ascii="宋体" w:hAnsi="宋体"/>
          <w:sz w:val="24"/>
        </w:rPr>
        <w:t>◎文中引用了一些文言警句，请找出来并分析它们的作用。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8"/>
        <w:gridCol w:w="4868"/>
      </w:tblGrid>
      <w:tr w14:paraId="0C78D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8" w:type="dxa"/>
            <w:vAlign w:val="center"/>
          </w:tcPr>
          <w:p w14:paraId="2F84A8E4">
            <w:pPr>
              <w:spacing w:line="360" w:lineRule="auto"/>
              <w:contextualSpacing/>
              <w:jc w:val="center"/>
              <w:rPr>
                <w:rFonts w:hint="eastAsia" w:ascii="宋体" w:hAnsi="宋体"/>
                <w:sz w:val="24"/>
              </w:rPr>
            </w:pPr>
            <w:r>
              <w:rPr>
                <w:rFonts w:hint="eastAsia" w:ascii="宋体" w:hAnsi="宋体"/>
                <w:sz w:val="24"/>
              </w:rPr>
              <w:t>文言警句</w:t>
            </w:r>
          </w:p>
        </w:tc>
        <w:tc>
          <w:tcPr>
            <w:tcW w:w="4868" w:type="dxa"/>
            <w:vAlign w:val="center"/>
          </w:tcPr>
          <w:p w14:paraId="0F500913">
            <w:pPr>
              <w:spacing w:line="360" w:lineRule="auto"/>
              <w:contextualSpacing/>
              <w:jc w:val="center"/>
              <w:rPr>
                <w:rFonts w:hint="eastAsia" w:ascii="宋体" w:hAnsi="宋体"/>
                <w:sz w:val="24"/>
              </w:rPr>
            </w:pPr>
            <w:r>
              <w:rPr>
                <w:rFonts w:hint="eastAsia" w:ascii="宋体" w:hAnsi="宋体"/>
                <w:sz w:val="24"/>
              </w:rPr>
              <w:t>作用</w:t>
            </w:r>
          </w:p>
        </w:tc>
      </w:tr>
      <w:tr w14:paraId="0A7F1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68" w:type="dxa"/>
            <w:vAlign w:val="center"/>
          </w:tcPr>
          <w:p w14:paraId="1269E363">
            <w:pPr>
              <w:spacing w:line="360" w:lineRule="auto"/>
              <w:contextualSpacing/>
              <w:jc w:val="left"/>
              <w:rPr>
                <w:rFonts w:hint="eastAsia" w:ascii="宋体" w:hAnsi="宋体"/>
                <w:sz w:val="24"/>
              </w:rPr>
            </w:pPr>
            <w:r>
              <w:rPr>
                <w:rFonts w:hint="eastAsia" w:ascii="宋体" w:hAnsi="宋体"/>
                <w:sz w:val="24"/>
              </w:rPr>
              <w:t>行而宜之之谓义。</w:t>
            </w:r>
          </w:p>
        </w:tc>
        <w:tc>
          <w:tcPr>
            <w:tcW w:w="4868" w:type="dxa"/>
            <w:vAlign w:val="center"/>
          </w:tcPr>
          <w:p w14:paraId="03450936">
            <w:pPr>
              <w:spacing w:line="360" w:lineRule="auto"/>
              <w:contextualSpacing/>
              <w:jc w:val="left"/>
              <w:rPr>
                <w:rFonts w:hint="eastAsia" w:ascii="宋体" w:hAnsi="宋体"/>
                <w:sz w:val="24"/>
              </w:rPr>
            </w:pPr>
            <w:r>
              <w:rPr>
                <w:rFonts w:hint="eastAsia" w:ascii="宋体" w:hAnsi="宋体"/>
                <w:sz w:val="24"/>
              </w:rPr>
              <w:t>引用“行而宜之之谓义”是为了阐释什么是“应该”。</w:t>
            </w:r>
          </w:p>
        </w:tc>
      </w:tr>
      <w:tr w14:paraId="786BA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68" w:type="dxa"/>
            <w:vAlign w:val="center"/>
          </w:tcPr>
          <w:p w14:paraId="47D2B7CE">
            <w:pPr>
              <w:spacing w:line="360" w:lineRule="auto"/>
              <w:contextualSpacing/>
              <w:jc w:val="left"/>
              <w:rPr>
                <w:rFonts w:hint="eastAsia" w:ascii="宋体" w:hAnsi="宋体"/>
                <w:sz w:val="24"/>
              </w:rPr>
            </w:pPr>
            <w:r>
              <w:rPr>
                <w:rFonts w:hint="eastAsia" w:ascii="宋体" w:hAnsi="宋体"/>
                <w:sz w:val="24"/>
              </w:rPr>
              <w:t>勿以善小而不为，勿以恶小而为之。</w:t>
            </w:r>
          </w:p>
        </w:tc>
        <w:tc>
          <w:tcPr>
            <w:tcW w:w="4868" w:type="dxa"/>
            <w:vAlign w:val="center"/>
          </w:tcPr>
          <w:p w14:paraId="79E24485">
            <w:pPr>
              <w:spacing w:line="360" w:lineRule="auto"/>
              <w:contextualSpacing/>
              <w:jc w:val="left"/>
              <w:rPr>
                <w:rFonts w:hint="eastAsia" w:ascii="宋体" w:hAnsi="宋体"/>
                <w:sz w:val="24"/>
              </w:rPr>
            </w:pPr>
            <w:r>
              <w:rPr>
                <w:rFonts w:hint="eastAsia" w:ascii="宋体" w:hAnsi="宋体"/>
                <w:sz w:val="24"/>
              </w:rPr>
              <w:t>引用“勿以善小而不为，勿以恶小而为之”是为了引出下文对善恶的大小之别的阐述。</w:t>
            </w:r>
          </w:p>
        </w:tc>
      </w:tr>
      <w:tr w14:paraId="1880F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68" w:type="dxa"/>
            <w:vAlign w:val="center"/>
          </w:tcPr>
          <w:p w14:paraId="55C208FE">
            <w:pPr>
              <w:spacing w:line="360" w:lineRule="auto"/>
              <w:contextualSpacing/>
              <w:jc w:val="left"/>
              <w:rPr>
                <w:rFonts w:hint="eastAsia" w:ascii="宋体" w:hAnsi="宋体"/>
                <w:sz w:val="24"/>
              </w:rPr>
            </w:pPr>
            <w:r>
              <w:rPr>
                <w:rFonts w:hint="eastAsia" w:ascii="宋体" w:hAnsi="宋体"/>
                <w:sz w:val="24"/>
              </w:rPr>
              <w:t>千里之堤，溃于蚁穴。</w:t>
            </w:r>
          </w:p>
        </w:tc>
        <w:tc>
          <w:tcPr>
            <w:tcW w:w="4868" w:type="dxa"/>
            <w:vAlign w:val="center"/>
          </w:tcPr>
          <w:p w14:paraId="0FDFD1D1">
            <w:pPr>
              <w:spacing w:line="360" w:lineRule="auto"/>
              <w:contextualSpacing/>
              <w:jc w:val="left"/>
              <w:rPr>
                <w:rFonts w:hint="eastAsia" w:ascii="宋体" w:hAnsi="宋体"/>
                <w:sz w:val="24"/>
              </w:rPr>
            </w:pPr>
            <w:r>
              <w:rPr>
                <w:rFonts w:hint="eastAsia" w:ascii="宋体" w:hAnsi="宋体"/>
                <w:sz w:val="24"/>
              </w:rPr>
              <w:t>引用“千里之堤，溃于蚁穴”，形象地说明了“小恶”与“大恶”的关系。</w:t>
            </w:r>
          </w:p>
        </w:tc>
      </w:tr>
    </w:tbl>
    <w:p w14:paraId="26394715">
      <w:pPr>
        <w:snapToGrid w:val="0"/>
        <w:spacing w:line="360" w:lineRule="auto"/>
        <w:ind w:firstLine="480" w:firstLineChars="200"/>
        <w:contextualSpacing/>
        <w:jc w:val="left"/>
        <w:rPr>
          <w:rFonts w:hint="eastAsia" w:ascii="宋体" w:hAnsi="宋体"/>
          <w:sz w:val="24"/>
        </w:rPr>
      </w:pPr>
      <w:r>
        <w:rPr>
          <w:rFonts w:hint="eastAsia" w:ascii="宋体" w:hAnsi="宋体"/>
          <w:sz w:val="24"/>
        </w:rPr>
        <w:t>◎季羡林在文中讲述的道理浅显易懂，语言平实质朴，其中有很多句子值得推敲，请勾画出你喜欢的语句并作批注。</w:t>
      </w:r>
    </w:p>
    <w:p w14:paraId="7E68BD5A">
      <w:pPr>
        <w:snapToGrid w:val="0"/>
        <w:spacing w:line="360" w:lineRule="auto"/>
        <w:ind w:firstLine="480" w:firstLineChars="200"/>
        <w:contextualSpacing/>
        <w:jc w:val="left"/>
        <w:rPr>
          <w:rFonts w:hint="eastAsia" w:ascii="宋体" w:hAnsi="宋体"/>
          <w:sz w:val="24"/>
        </w:rPr>
      </w:pPr>
      <w:r>
        <w:rPr>
          <w:rFonts w:hint="eastAsia" w:ascii="宋体" w:hAnsi="宋体"/>
          <w:sz w:val="24"/>
        </w:rPr>
        <w:t>（1）然而，从那些一看到有老人或病人上车就立即装出闭目养神的样子的人身上，不也能由小见大看出了社会道德的水平吗？（运用反问的修辞手法，强烈地表达了作者对故意不给老人和病人让座的人的谴责。）</w:t>
      </w:r>
    </w:p>
    <w:p w14:paraId="133525E7">
      <w:pPr>
        <w:snapToGrid w:val="0"/>
        <w:spacing w:line="360" w:lineRule="auto"/>
        <w:ind w:firstLine="480" w:firstLineChars="200"/>
        <w:contextualSpacing/>
        <w:jc w:val="left"/>
        <w:rPr>
          <w:rFonts w:hint="eastAsia" w:ascii="宋体" w:hAnsi="宋体"/>
          <w:sz w:val="24"/>
        </w:rPr>
      </w:pPr>
      <w:r>
        <w:rPr>
          <w:rFonts w:hint="eastAsia" w:ascii="宋体" w:hAnsi="宋体"/>
          <w:sz w:val="24"/>
        </w:rPr>
        <w:t>（2）拿眼前常常提到的贪污行为而论。往往是先贪污少量的财物，心里还有点打鼓。（“往往”是通常的意思，表示大多数情况下“大恶”是由“小恶”发展而来的，但不排除存在特例，体现了语言的严谨性。）</w:t>
      </w:r>
    </w:p>
    <w:p w14:paraId="78FBBA4C">
      <w:pPr>
        <w:snapToGrid w:val="0"/>
        <w:spacing w:line="360" w:lineRule="auto"/>
        <w:ind w:firstLine="480" w:firstLineChars="200"/>
        <w:contextualSpacing/>
        <w:jc w:val="left"/>
        <w:rPr>
          <w:rFonts w:hint="eastAsia" w:ascii="宋体" w:hAnsi="宋体"/>
          <w:sz w:val="24"/>
        </w:rPr>
      </w:pPr>
      <w:r>
        <w:rPr>
          <w:rFonts w:hint="eastAsia" w:ascii="宋体" w:hAnsi="宋体"/>
          <w:sz w:val="24"/>
        </w:rPr>
        <w:t>4.目标任务四：深入分析，探究疑难。</w:t>
      </w:r>
    </w:p>
    <w:p w14:paraId="6C26FC54">
      <w:pPr>
        <w:snapToGrid w:val="0"/>
        <w:spacing w:line="360" w:lineRule="auto"/>
        <w:ind w:firstLine="480" w:firstLineChars="200"/>
        <w:contextualSpacing/>
        <w:jc w:val="left"/>
        <w:rPr>
          <w:rFonts w:hint="eastAsia" w:ascii="宋体" w:hAnsi="宋体"/>
          <w:sz w:val="24"/>
        </w:rPr>
      </w:pPr>
      <w:r>
        <w:rPr>
          <w:rFonts w:hint="eastAsia" w:ascii="宋体" w:hAnsi="宋体"/>
          <w:sz w:val="24"/>
        </w:rPr>
        <w:t>◎先提出“有为”“有不为”的关键是“应该”，有什么作用？</w:t>
      </w:r>
    </w:p>
    <w:p w14:paraId="2EAB1322">
      <w:pPr>
        <w:snapToGrid w:val="0"/>
        <w:spacing w:line="360" w:lineRule="auto"/>
        <w:ind w:firstLine="480" w:firstLineChars="200"/>
        <w:contextualSpacing/>
        <w:jc w:val="left"/>
        <w:rPr>
          <w:rFonts w:hint="eastAsia" w:ascii="宋体" w:hAnsi="宋体"/>
          <w:sz w:val="24"/>
        </w:rPr>
      </w:pPr>
      <w:r>
        <w:rPr>
          <w:rFonts w:hint="eastAsia" w:ascii="宋体" w:hAnsi="宋体"/>
          <w:sz w:val="24"/>
        </w:rPr>
        <w:t>“应该”是判断“为”与“不为”的核心标准。这里先提出“应该”，引出下文对于这一标准内涵的阐述，进而将这一评判标准归到“善”与“恶”，表明观点，并引出后文的一系列具体论述。</w:t>
      </w:r>
    </w:p>
    <w:p w14:paraId="7409D97D">
      <w:pPr>
        <w:snapToGrid w:val="0"/>
        <w:spacing w:line="360" w:lineRule="auto"/>
        <w:ind w:firstLine="480" w:firstLineChars="200"/>
        <w:contextualSpacing/>
        <w:jc w:val="left"/>
        <w:rPr>
          <w:rFonts w:hint="eastAsia" w:ascii="宋体" w:hAnsi="宋体"/>
          <w:sz w:val="24"/>
        </w:rPr>
      </w:pPr>
      <w:r>
        <w:rPr>
          <w:rFonts w:hint="eastAsia" w:ascii="宋体" w:hAnsi="宋体"/>
          <w:sz w:val="24"/>
        </w:rPr>
        <w:t>◎“大小善”和“大小恶”有什么样的联系？</w:t>
      </w:r>
    </w:p>
    <w:p w14:paraId="38E97DF5">
      <w:pPr>
        <w:snapToGrid w:val="0"/>
        <w:spacing w:line="360" w:lineRule="auto"/>
        <w:ind w:firstLine="480" w:firstLineChars="200"/>
        <w:contextualSpacing/>
        <w:jc w:val="left"/>
        <w:rPr>
          <w:rFonts w:hint="eastAsia" w:ascii="宋体" w:hAnsi="宋体"/>
          <w:sz w:val="24"/>
        </w:rPr>
      </w:pPr>
      <w:r>
        <w:rPr>
          <w:rFonts w:hint="eastAsia" w:ascii="宋体" w:hAnsi="宋体"/>
          <w:sz w:val="24"/>
        </w:rPr>
        <w:t>①无论是善行还是恶行都有一个从量变到质变的过程。小恶如不及时加以制止，可能逐渐累积成大恶；同样，小善也可以通过持续的积累和坚持，逐渐汇聚成大善。②“善”和“恶”之间并非绝对对立，而是存在着相互转化的可能性。如果个体在认识到自己的错误后，能够主动改正并回归正道，也可能实现从恶向善的转化。</w:t>
      </w:r>
    </w:p>
    <w:p w14:paraId="7091E90E">
      <w:pPr>
        <w:snapToGrid w:val="0"/>
        <w:spacing w:line="360" w:lineRule="auto"/>
        <w:ind w:firstLine="480" w:firstLineChars="200"/>
        <w:contextualSpacing/>
        <w:jc w:val="left"/>
        <w:rPr>
          <w:rFonts w:hint="eastAsia" w:ascii="宋体" w:hAnsi="宋体"/>
          <w:sz w:val="24"/>
        </w:rPr>
      </w:pPr>
      <w:r>
        <w:rPr>
          <w:rFonts w:hint="eastAsia" w:ascii="宋体" w:hAnsi="宋体"/>
          <w:sz w:val="24"/>
        </w:rPr>
        <w:t>◎本文题目是“有为有不为”，但文中却用大量的笔墨谈论“善”与“恶”，是否离题？谈谈你的看法。</w:t>
      </w:r>
    </w:p>
    <w:p w14:paraId="28A6C21D">
      <w:pPr>
        <w:snapToGrid w:val="0"/>
        <w:spacing w:line="360" w:lineRule="auto"/>
        <w:ind w:firstLine="480" w:firstLineChars="200"/>
        <w:contextualSpacing/>
        <w:jc w:val="left"/>
        <w:rPr>
          <w:rFonts w:hint="eastAsia" w:ascii="宋体" w:hAnsi="宋体"/>
          <w:sz w:val="24"/>
        </w:rPr>
      </w:pPr>
      <w:r>
        <w:rPr>
          <w:rFonts w:hint="eastAsia" w:ascii="宋体" w:hAnsi="宋体"/>
          <w:sz w:val="24"/>
        </w:rPr>
        <w:t>不离题。因为“有为有不为”的评判标准就是“善”与“恶”，能分辨清是非善恶，就能知道什么事应该做，什么事不应该做，这就是“有为”与“有不为”。</w:t>
      </w:r>
    </w:p>
    <w:p w14:paraId="2071881C">
      <w:pPr>
        <w:snapToGrid w:val="0"/>
        <w:spacing w:line="360" w:lineRule="auto"/>
        <w:ind w:firstLine="480" w:firstLineChars="200"/>
        <w:contextualSpacing/>
        <w:jc w:val="left"/>
        <w:rPr>
          <w:rFonts w:hint="eastAsia" w:ascii="宋体" w:hAnsi="宋体"/>
          <w:sz w:val="24"/>
        </w:rPr>
      </w:pPr>
      <w:r>
        <w:rPr>
          <w:rFonts w:hint="eastAsia" w:ascii="宋体" w:hAnsi="宋体"/>
          <w:sz w:val="24"/>
        </w:rPr>
        <w:t>结束语：本文是一篇具有深刻思想内涵和广泛社会意义的作品。它提醒我们在日常生活中要时刻审视自己的行为选择是否符合道德准则和社会规范，要勇于承担自己的责任和义务，要坚守道德底线，要不断提升自己的道德境界和人生价值，为社会的发展和进步贡献自己的力量。</w:t>
      </w:r>
    </w:p>
    <w:p w14:paraId="3E7F6F24">
      <w:pPr>
        <w:snapToGrid w:val="0"/>
        <w:spacing w:line="360" w:lineRule="auto"/>
        <w:contextualSpacing/>
        <w:jc w:val="left"/>
        <w:rPr>
          <w:rFonts w:hint="eastAsia" w:ascii="宋体" w:hAnsi="宋体"/>
          <w:sz w:val="24"/>
        </w:rPr>
      </w:pPr>
      <w:r>
        <w:rPr>
          <w:rFonts w:hint="eastAsia" w:ascii="宋体" w:hAnsi="宋体"/>
          <w:sz w:val="24"/>
        </w:rPr>
        <w:t>三、作业布置</w:t>
      </w:r>
    </w:p>
    <w:p w14:paraId="39D7912B">
      <w:pPr>
        <w:snapToGrid w:val="0"/>
        <w:spacing w:line="360" w:lineRule="auto"/>
        <w:ind w:firstLine="480" w:firstLineChars="200"/>
        <w:contextualSpacing/>
        <w:jc w:val="left"/>
        <w:rPr>
          <w:rFonts w:hint="eastAsia" w:ascii="宋体" w:hAnsi="宋体"/>
          <w:sz w:val="24"/>
        </w:rPr>
      </w:pPr>
      <w:r>
        <w:rPr>
          <w:rFonts w:hint="eastAsia" w:ascii="宋体" w:hAnsi="宋体"/>
          <w:sz w:val="24"/>
        </w:rPr>
        <w:t>学习本文后，写一篇心得体会。</w:t>
      </w:r>
    </w:p>
    <w:p w14:paraId="1DE8F757">
      <w:pPr>
        <w:snapToGrid w:val="0"/>
        <w:spacing w:line="360" w:lineRule="auto"/>
        <w:contextualSpacing/>
        <w:jc w:val="left"/>
        <w:rPr>
          <w:rFonts w:hint="eastAsia" w:ascii="宋体" w:hAnsi="宋体"/>
          <w:sz w:val="24"/>
        </w:rPr>
      </w:pPr>
      <w:r>
        <w:drawing>
          <wp:inline distT="0" distB="0" distL="0" distR="0">
            <wp:extent cx="1324610" cy="2946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3"/>
                    <a:stretch>
                      <a:fillRect/>
                    </a:stretch>
                  </pic:blipFill>
                  <pic:spPr>
                    <a:xfrm>
                      <a:off x="0" y="0"/>
                      <a:ext cx="1324800" cy="295200"/>
                    </a:xfrm>
                    <a:prstGeom prst="rect">
                      <a:avLst/>
                    </a:prstGeom>
                  </pic:spPr>
                </pic:pic>
              </a:graphicData>
            </a:graphic>
          </wp:inline>
        </w:drawing>
      </w:r>
    </w:p>
    <w:p w14:paraId="0D657A7B">
      <w:pPr>
        <w:snapToGrid w:val="0"/>
        <w:spacing w:line="360" w:lineRule="auto"/>
        <w:contextualSpacing/>
        <w:jc w:val="center"/>
        <w:rPr>
          <w:rFonts w:hint="eastAsia" w:ascii="宋体" w:hAnsi="宋体"/>
          <w:sz w:val="24"/>
        </w:rPr>
      </w:pPr>
      <w:r>
        <w:drawing>
          <wp:inline distT="0" distB="0" distL="0" distR="0">
            <wp:extent cx="4197985" cy="1312545"/>
            <wp:effectExtent l="0" t="0" r="0" b="19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4"/>
                    <a:stretch>
                      <a:fillRect/>
                    </a:stretch>
                  </pic:blipFill>
                  <pic:spPr>
                    <a:xfrm>
                      <a:off x="0" y="0"/>
                      <a:ext cx="4215183" cy="1317840"/>
                    </a:xfrm>
                    <a:prstGeom prst="rect">
                      <a:avLst/>
                    </a:prstGeom>
                  </pic:spPr>
                </pic:pic>
              </a:graphicData>
            </a:graphic>
          </wp:inline>
        </w:drawing>
      </w:r>
    </w:p>
    <w:p w14:paraId="09188B2A">
      <w:pPr>
        <w:snapToGrid w:val="0"/>
        <w:spacing w:line="360" w:lineRule="auto"/>
        <w:contextualSpacing/>
        <w:rPr>
          <w:rFonts w:hint="eastAsia" w:ascii="宋体" w:hAnsi="宋体"/>
          <w:sz w:val="24"/>
        </w:rPr>
      </w:pPr>
      <w:r>
        <w:drawing>
          <wp:inline distT="0" distB="0" distL="0" distR="0">
            <wp:extent cx="1324610" cy="2946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5"/>
                    <a:stretch>
                      <a:fillRect/>
                    </a:stretch>
                  </pic:blipFill>
                  <pic:spPr>
                    <a:xfrm>
                      <a:off x="0" y="0"/>
                      <a:ext cx="1324800" cy="295200"/>
                    </a:xfrm>
                    <a:prstGeom prst="rect">
                      <a:avLst/>
                    </a:prstGeom>
                  </pic:spPr>
                </pic:pic>
              </a:graphicData>
            </a:graphic>
          </wp:inline>
        </w:drawing>
      </w:r>
    </w:p>
    <w:p w14:paraId="0D9F92DE">
      <w:pPr>
        <w:snapToGrid w:val="0"/>
        <w:spacing w:line="360" w:lineRule="auto"/>
        <w:ind w:firstLine="480" w:firstLineChars="200"/>
        <w:contextualSpacing/>
        <w:jc w:val="left"/>
        <w:rPr>
          <w:rFonts w:hint="eastAsia" w:ascii="宋体" w:hAnsi="宋体"/>
          <w:sz w:val="24"/>
        </w:rPr>
      </w:pPr>
      <w:r>
        <w:rPr>
          <w:rFonts w:hint="eastAsia" w:ascii="宋体" w:hAnsi="宋体"/>
          <w:sz w:val="24"/>
        </w:rPr>
        <w:t>本课是一篇自读课文。本教学设计主要围绕把握行文思路和品味语言展开，以学生的自主学习为主，用问题引导学生去思考，进一步提升了学生自主阅读的能力，为学生从课内阅读向课外阅读迁移奠定了坚实的基础。</w:t>
      </w:r>
    </w:p>
    <w:p w14:paraId="55625066">
      <w:pPr>
        <w:rPr>
          <w:b/>
          <w:bCs/>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738D6">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444C7">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8BA3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D7D95">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558ED">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142F0">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3FC5"/>
    <w:rsid w:val="00041A4A"/>
    <w:rsid w:val="0004329A"/>
    <w:rsid w:val="00060247"/>
    <w:rsid w:val="00061357"/>
    <w:rsid w:val="00061BE7"/>
    <w:rsid w:val="000635C3"/>
    <w:rsid w:val="00063EE5"/>
    <w:rsid w:val="00072FA0"/>
    <w:rsid w:val="00080C7F"/>
    <w:rsid w:val="000921F2"/>
    <w:rsid w:val="000D5C17"/>
    <w:rsid w:val="000E2E45"/>
    <w:rsid w:val="000E55A4"/>
    <w:rsid w:val="000F6052"/>
    <w:rsid w:val="000F7B08"/>
    <w:rsid w:val="00102B46"/>
    <w:rsid w:val="00114A2B"/>
    <w:rsid w:val="00115F6C"/>
    <w:rsid w:val="0015387C"/>
    <w:rsid w:val="001570B0"/>
    <w:rsid w:val="001827D9"/>
    <w:rsid w:val="00183BEA"/>
    <w:rsid w:val="0018795C"/>
    <w:rsid w:val="00195A68"/>
    <w:rsid w:val="001A08B7"/>
    <w:rsid w:val="001B68EC"/>
    <w:rsid w:val="001B6D6C"/>
    <w:rsid w:val="001C5B10"/>
    <w:rsid w:val="00211C0C"/>
    <w:rsid w:val="0022003C"/>
    <w:rsid w:val="00240B63"/>
    <w:rsid w:val="00242007"/>
    <w:rsid w:val="00244BE0"/>
    <w:rsid w:val="00245D4D"/>
    <w:rsid w:val="00255A82"/>
    <w:rsid w:val="00273248"/>
    <w:rsid w:val="002D2C5C"/>
    <w:rsid w:val="002D5FB2"/>
    <w:rsid w:val="0031648B"/>
    <w:rsid w:val="00325986"/>
    <w:rsid w:val="00334B58"/>
    <w:rsid w:val="00354D88"/>
    <w:rsid w:val="00361A4C"/>
    <w:rsid w:val="003637A5"/>
    <w:rsid w:val="00370A7D"/>
    <w:rsid w:val="00397561"/>
    <w:rsid w:val="003A397D"/>
    <w:rsid w:val="003D06F2"/>
    <w:rsid w:val="003D392A"/>
    <w:rsid w:val="003D6CA3"/>
    <w:rsid w:val="003F677A"/>
    <w:rsid w:val="00402094"/>
    <w:rsid w:val="004051F5"/>
    <w:rsid w:val="00407B46"/>
    <w:rsid w:val="00415749"/>
    <w:rsid w:val="004247EB"/>
    <w:rsid w:val="004266DB"/>
    <w:rsid w:val="00432413"/>
    <w:rsid w:val="00433762"/>
    <w:rsid w:val="00442CB4"/>
    <w:rsid w:val="004467B1"/>
    <w:rsid w:val="004577C3"/>
    <w:rsid w:val="004A7D85"/>
    <w:rsid w:val="004B0728"/>
    <w:rsid w:val="004B33C4"/>
    <w:rsid w:val="004C0564"/>
    <w:rsid w:val="004D5F06"/>
    <w:rsid w:val="005024FD"/>
    <w:rsid w:val="005556B6"/>
    <w:rsid w:val="00557F5C"/>
    <w:rsid w:val="00561A59"/>
    <w:rsid w:val="00574F36"/>
    <w:rsid w:val="00590D6E"/>
    <w:rsid w:val="005A74D0"/>
    <w:rsid w:val="005B0A09"/>
    <w:rsid w:val="005D386C"/>
    <w:rsid w:val="005E4D56"/>
    <w:rsid w:val="005F3142"/>
    <w:rsid w:val="00604C20"/>
    <w:rsid w:val="00610DE4"/>
    <w:rsid w:val="00624B6C"/>
    <w:rsid w:val="00646691"/>
    <w:rsid w:val="0066118F"/>
    <w:rsid w:val="00671892"/>
    <w:rsid w:val="00681986"/>
    <w:rsid w:val="006A4BE7"/>
    <w:rsid w:val="006A4D30"/>
    <w:rsid w:val="006B2913"/>
    <w:rsid w:val="006D78D6"/>
    <w:rsid w:val="00700EB1"/>
    <w:rsid w:val="007111B7"/>
    <w:rsid w:val="00726E0B"/>
    <w:rsid w:val="00747818"/>
    <w:rsid w:val="00770D86"/>
    <w:rsid w:val="007A5034"/>
    <w:rsid w:val="007B0AD3"/>
    <w:rsid w:val="007F0348"/>
    <w:rsid w:val="008167DA"/>
    <w:rsid w:val="0083630B"/>
    <w:rsid w:val="00861328"/>
    <w:rsid w:val="0086759F"/>
    <w:rsid w:val="00877F01"/>
    <w:rsid w:val="00882BA1"/>
    <w:rsid w:val="008C00BD"/>
    <w:rsid w:val="008C2824"/>
    <w:rsid w:val="008E66A4"/>
    <w:rsid w:val="008E70C9"/>
    <w:rsid w:val="00900CF2"/>
    <w:rsid w:val="00961570"/>
    <w:rsid w:val="0096516E"/>
    <w:rsid w:val="009671B3"/>
    <w:rsid w:val="00981668"/>
    <w:rsid w:val="009816D1"/>
    <w:rsid w:val="009B7001"/>
    <w:rsid w:val="009D23AB"/>
    <w:rsid w:val="009F6A84"/>
    <w:rsid w:val="00A050A9"/>
    <w:rsid w:val="00A13E81"/>
    <w:rsid w:val="00A166A9"/>
    <w:rsid w:val="00A33D80"/>
    <w:rsid w:val="00A3496D"/>
    <w:rsid w:val="00A401F6"/>
    <w:rsid w:val="00A464C9"/>
    <w:rsid w:val="00A52222"/>
    <w:rsid w:val="00A53FDE"/>
    <w:rsid w:val="00A701A1"/>
    <w:rsid w:val="00A876C4"/>
    <w:rsid w:val="00AA79FF"/>
    <w:rsid w:val="00AB1FBE"/>
    <w:rsid w:val="00AE2664"/>
    <w:rsid w:val="00AF0669"/>
    <w:rsid w:val="00B3792B"/>
    <w:rsid w:val="00B417CA"/>
    <w:rsid w:val="00B4273F"/>
    <w:rsid w:val="00B824BC"/>
    <w:rsid w:val="00B84C30"/>
    <w:rsid w:val="00BA649A"/>
    <w:rsid w:val="00BC187C"/>
    <w:rsid w:val="00BC4480"/>
    <w:rsid w:val="00BD3D88"/>
    <w:rsid w:val="00BE4C4D"/>
    <w:rsid w:val="00BE5BC7"/>
    <w:rsid w:val="00BF2C36"/>
    <w:rsid w:val="00C07A39"/>
    <w:rsid w:val="00C21A84"/>
    <w:rsid w:val="00C30DC3"/>
    <w:rsid w:val="00C33153"/>
    <w:rsid w:val="00C51467"/>
    <w:rsid w:val="00C72088"/>
    <w:rsid w:val="00C866B0"/>
    <w:rsid w:val="00C962E4"/>
    <w:rsid w:val="00CA11E9"/>
    <w:rsid w:val="00CC2BFA"/>
    <w:rsid w:val="00CC6467"/>
    <w:rsid w:val="00CF7D98"/>
    <w:rsid w:val="00D14E06"/>
    <w:rsid w:val="00D3715D"/>
    <w:rsid w:val="00D41A64"/>
    <w:rsid w:val="00D44DCF"/>
    <w:rsid w:val="00D53454"/>
    <w:rsid w:val="00D61F59"/>
    <w:rsid w:val="00D63080"/>
    <w:rsid w:val="00D73534"/>
    <w:rsid w:val="00DC0DB4"/>
    <w:rsid w:val="00DD4386"/>
    <w:rsid w:val="00DD783B"/>
    <w:rsid w:val="00DF5121"/>
    <w:rsid w:val="00E37108"/>
    <w:rsid w:val="00E52E25"/>
    <w:rsid w:val="00E604DC"/>
    <w:rsid w:val="00E625E4"/>
    <w:rsid w:val="00E8090A"/>
    <w:rsid w:val="00E92ADF"/>
    <w:rsid w:val="00ED04D3"/>
    <w:rsid w:val="00F03084"/>
    <w:rsid w:val="00F14FB9"/>
    <w:rsid w:val="00F2348A"/>
    <w:rsid w:val="00F23763"/>
    <w:rsid w:val="00F31E73"/>
    <w:rsid w:val="00F46149"/>
    <w:rsid w:val="00F52667"/>
    <w:rsid w:val="00F57980"/>
    <w:rsid w:val="00F61F6E"/>
    <w:rsid w:val="00FD09A4"/>
    <w:rsid w:val="00FE2522"/>
    <w:rsid w:val="00FE67CB"/>
    <w:rsid w:val="0C846010"/>
    <w:rsid w:val="0C8E5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basedOn w:val="7"/>
    <w:link w:val="2"/>
    <w:uiPriority w:val="99"/>
    <w:rPr>
      <w:rFonts w:ascii="宋体" w:hAnsi="Courier New" w:cs="Courier New"/>
      <w:kern w:val="2"/>
      <w:sz w:val="21"/>
      <w:szCs w:val="21"/>
    </w:rPr>
  </w:style>
  <w:style w:type="character" w:customStyle="1" w:styleId="9">
    <w:name w:val="页眉 字符"/>
    <w:basedOn w:val="7"/>
    <w:link w:val="4"/>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1451</Words>
  <Characters>1461</Characters>
  <Lines>17</Lines>
  <Paragraphs>5</Paragraphs>
  <TotalTime>231</TotalTime>
  <ScaleCrop>false</ScaleCrop>
  <LinksUpToDate>false</LinksUpToDate>
  <CharactersWithSpaces>1464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2022-03-29T01:28:00Z</dcterms:created>
  <dc:creator>dzzy888666</dc:creator>
  <cp:lastModifiedBy>上帝掷骰子吗</cp:lastModifiedBy>
  <dcterms:modified xsi:type="dcterms:W3CDTF">2025-08-06T09:07:04Z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74F3B1610C2B48F290A017B05F331A93_12</vt:lpwstr>
  </property>
</Properties>
</file>